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B679C5" w14:textId="7389CFB7" w:rsidR="009D416E" w:rsidRPr="00C27789" w:rsidRDefault="0070493D">
      <w:pPr>
        <w:rPr>
          <w:b/>
          <w:sz w:val="32"/>
        </w:rPr>
      </w:pPr>
      <w:r w:rsidRPr="00C27789">
        <w:rPr>
          <w:b/>
          <w:sz w:val="32"/>
        </w:rPr>
        <w:t>Brandresistente Emmer und Dinkel für den Öko-Anbau</w:t>
      </w:r>
      <w:r w:rsidR="00490E7E">
        <w:rPr>
          <w:b/>
          <w:sz w:val="32"/>
        </w:rPr>
        <w:br/>
      </w:r>
      <w:r w:rsidR="009E7668" w:rsidRPr="009E7668">
        <w:rPr>
          <w:b/>
          <w:sz w:val="24"/>
          <w:szCs w:val="24"/>
        </w:rPr>
        <w:t xml:space="preserve">Thomas </w:t>
      </w:r>
      <w:proofErr w:type="spellStart"/>
      <w:r w:rsidR="009E7668" w:rsidRPr="009E7668">
        <w:rPr>
          <w:b/>
          <w:sz w:val="24"/>
          <w:szCs w:val="24"/>
        </w:rPr>
        <w:t>Miedaner</w:t>
      </w:r>
      <w:proofErr w:type="spellEnd"/>
      <w:r w:rsidR="009E7668" w:rsidRPr="009E7668">
        <w:rPr>
          <w:b/>
          <w:sz w:val="24"/>
          <w:szCs w:val="24"/>
        </w:rPr>
        <w:t xml:space="preserve"> und Friedrich Longin</w:t>
      </w:r>
    </w:p>
    <w:p w14:paraId="3A6A8077" w14:textId="77777777" w:rsidR="0070493D" w:rsidRDefault="0070493D"/>
    <w:p w14:paraId="22CF1F7D" w14:textId="5FCAC3F9" w:rsidR="00C27789" w:rsidRPr="00C27789" w:rsidRDefault="00C27789" w:rsidP="00C27789">
      <w:pPr>
        <w:rPr>
          <w:b/>
        </w:rPr>
      </w:pPr>
      <w:r w:rsidRPr="00C27789">
        <w:rPr>
          <w:b/>
        </w:rPr>
        <w:t xml:space="preserve">Emmer und Dinkel gelten als </w:t>
      </w:r>
      <w:r>
        <w:rPr>
          <w:b/>
        </w:rPr>
        <w:t xml:space="preserve">robust und </w:t>
      </w:r>
      <w:r w:rsidRPr="00C27789">
        <w:rPr>
          <w:b/>
        </w:rPr>
        <w:t xml:space="preserve">widerstandsfähig. Aber </w:t>
      </w:r>
      <w:r>
        <w:rPr>
          <w:b/>
        </w:rPr>
        <w:t xml:space="preserve">gilt das </w:t>
      </w:r>
      <w:r w:rsidRPr="00C27789">
        <w:rPr>
          <w:b/>
        </w:rPr>
        <w:t xml:space="preserve">auch </w:t>
      </w:r>
      <w:r>
        <w:rPr>
          <w:b/>
        </w:rPr>
        <w:t xml:space="preserve">für </w:t>
      </w:r>
      <w:r w:rsidRPr="00C27789">
        <w:rPr>
          <w:b/>
        </w:rPr>
        <w:t xml:space="preserve">die im </w:t>
      </w:r>
      <w:proofErr w:type="spellStart"/>
      <w:r w:rsidRPr="00C27789">
        <w:rPr>
          <w:b/>
        </w:rPr>
        <w:t>Ökoanbau</w:t>
      </w:r>
      <w:proofErr w:type="spellEnd"/>
      <w:r w:rsidRPr="00C27789">
        <w:rPr>
          <w:b/>
        </w:rPr>
        <w:t xml:space="preserve"> gefürchteten Brandkrankheiten? Dies untersuchten in mehrjährigen Experimenten F</w:t>
      </w:r>
      <w:r w:rsidR="00490E7E">
        <w:rPr>
          <w:b/>
        </w:rPr>
        <w:t>riedrich</w:t>
      </w:r>
      <w:r w:rsidRPr="00C27789">
        <w:rPr>
          <w:b/>
        </w:rPr>
        <w:t xml:space="preserve"> Longin und T</w:t>
      </w:r>
      <w:r w:rsidR="00490E7E">
        <w:rPr>
          <w:b/>
        </w:rPr>
        <w:t>homas</w:t>
      </w:r>
      <w:r w:rsidRPr="00C27789">
        <w:rPr>
          <w:b/>
        </w:rPr>
        <w:t xml:space="preserve"> Miedaner von der Landessaatzuchtanstalt der Universität Hohenheim</w:t>
      </w:r>
    </w:p>
    <w:p w14:paraId="7EF7B21B" w14:textId="77777777" w:rsidR="00C27789" w:rsidRDefault="00C27789"/>
    <w:p w14:paraId="7F78C2BF" w14:textId="00CD1767" w:rsidR="008D4CE2" w:rsidRDefault="00116250">
      <w:r>
        <w:t>Einkorn, Emmer und Dinkel sind heute noch Nischenkulturen, die aber vor allem in der Ökologischen Landwirtschaft zahlreiche Freunde gefunden haben. Sie versprechen mehr Abwechslung in der Fruchtfolge, sind auch für schlechtere Böden und ungünstige Bedingungen gut geeignet und ermöglichen bei Vertragsanbau, z.B. für Spezialbäckereien, eine lukrative Marge für den Landwirt.</w:t>
      </w:r>
    </w:p>
    <w:p w14:paraId="56D40CDA" w14:textId="77777777" w:rsidR="00380A0A" w:rsidRDefault="00116250">
      <w:r>
        <w:t xml:space="preserve">Vielfach gelten sie auch als besonders resistent gegen Krankheiten und Schädlinge. Dies gilt jedoch nicht in jedem Fall. Die diesjährige Gelbrostepidemie mit der besonders aggressiven, neuen Rasse ‚Warrior‘ betraf auch viele </w:t>
      </w:r>
      <w:proofErr w:type="spellStart"/>
      <w:r>
        <w:t>Emmersorten</w:t>
      </w:r>
      <w:proofErr w:type="spellEnd"/>
      <w:r>
        <w:t xml:space="preserve"> und die zugelassenen Dinkelsorten erwiesen sich in künstlichen Infektionen mit Schwarzrost dieses Jahr allesamt als hochanfällig. </w:t>
      </w:r>
      <w:r w:rsidR="00C27789">
        <w:t>Die offene Frage ist, wie es bei den Brandkrankheiten damit aussieht.</w:t>
      </w:r>
    </w:p>
    <w:p w14:paraId="1FFDDD97" w14:textId="77777777" w:rsidR="008D4CE2" w:rsidRPr="008D4CE2" w:rsidRDefault="008D4CE2">
      <w:pPr>
        <w:rPr>
          <w:b/>
        </w:rPr>
      </w:pPr>
      <w:r w:rsidRPr="008D4CE2">
        <w:rPr>
          <w:b/>
        </w:rPr>
        <w:t>Brandkrankheiten: Ein Problem im Ökolandbau</w:t>
      </w:r>
    </w:p>
    <w:p w14:paraId="692AADE3" w14:textId="77777777" w:rsidR="00B4781D" w:rsidRDefault="00C27789">
      <w:r>
        <w:t xml:space="preserve">Die </w:t>
      </w:r>
      <w:proofErr w:type="gramStart"/>
      <w:r>
        <w:t>Brande</w:t>
      </w:r>
      <w:proofErr w:type="gramEnd"/>
      <w:r>
        <w:t xml:space="preserve"> sind e</w:t>
      </w:r>
      <w:r w:rsidR="009D416E">
        <w:t>ine Gruppe von Krankheiten, die im Ökologischen Anbau besonders schwierig zu bekämpfen sind. Bei Weizen handelt es sich um</w:t>
      </w:r>
      <w:r>
        <w:t xml:space="preserve"> das gefürchtete Trio aus</w:t>
      </w:r>
      <w:r w:rsidR="009D416E">
        <w:t xml:space="preserve"> Steinbrand (</w:t>
      </w:r>
      <w:proofErr w:type="spellStart"/>
      <w:r w:rsidR="009D416E" w:rsidRPr="009D416E">
        <w:rPr>
          <w:i/>
        </w:rPr>
        <w:t>Tilletia</w:t>
      </w:r>
      <w:proofErr w:type="spellEnd"/>
      <w:r w:rsidR="009D416E" w:rsidRPr="009D416E">
        <w:rPr>
          <w:i/>
        </w:rPr>
        <w:t xml:space="preserve"> </w:t>
      </w:r>
      <w:proofErr w:type="spellStart"/>
      <w:r w:rsidR="009D416E" w:rsidRPr="009D416E">
        <w:rPr>
          <w:i/>
        </w:rPr>
        <w:t>caries</w:t>
      </w:r>
      <w:proofErr w:type="spellEnd"/>
      <w:r w:rsidR="009D416E">
        <w:t>), Zwergsteinbrand (</w:t>
      </w:r>
      <w:r w:rsidR="009D416E" w:rsidRPr="009D416E">
        <w:rPr>
          <w:i/>
        </w:rPr>
        <w:t xml:space="preserve">T. </w:t>
      </w:r>
      <w:proofErr w:type="spellStart"/>
      <w:r w:rsidR="009D416E" w:rsidRPr="009D416E">
        <w:rPr>
          <w:i/>
        </w:rPr>
        <w:t>controversa</w:t>
      </w:r>
      <w:proofErr w:type="spellEnd"/>
      <w:r w:rsidR="009D416E">
        <w:t>) und Flugbrand (</w:t>
      </w:r>
      <w:proofErr w:type="spellStart"/>
      <w:r w:rsidR="009D416E">
        <w:rPr>
          <w:i/>
        </w:rPr>
        <w:t>Ustilago</w:t>
      </w:r>
      <w:proofErr w:type="spellEnd"/>
      <w:r w:rsidR="009D416E">
        <w:rPr>
          <w:i/>
        </w:rPr>
        <w:t xml:space="preserve"> </w:t>
      </w:r>
      <w:proofErr w:type="spellStart"/>
      <w:r w:rsidR="009D416E">
        <w:rPr>
          <w:i/>
        </w:rPr>
        <w:t>tritici</w:t>
      </w:r>
      <w:proofErr w:type="spellEnd"/>
      <w:r w:rsidR="009D416E">
        <w:t xml:space="preserve">). </w:t>
      </w:r>
    </w:p>
    <w:p w14:paraId="255DDAF9" w14:textId="77777777" w:rsidR="00B4781D" w:rsidRDefault="009D416E">
      <w:r w:rsidRPr="009E7668">
        <w:rPr>
          <w:b/>
        </w:rPr>
        <w:t>Steinbrand</w:t>
      </w:r>
      <w:r>
        <w:t xml:space="preserve"> bildet in den sich entwickelnden Ähren </w:t>
      </w:r>
      <w:r w:rsidR="006341ED">
        <w:t>so genannte Brandbudden, das sind Weizenkörner mit intakter Fruchtwand und Samenschale, die aber mit einer pulvrig-harten Masse aus Brandsporen gefüllt sind, die nach faulem Fisch stinkt</w:t>
      </w:r>
      <w:r w:rsidR="00E6003F">
        <w:t xml:space="preserve"> („Stinkbrand“)</w:t>
      </w:r>
      <w:r w:rsidR="006341ED">
        <w:t xml:space="preserve">. Sie werden bei </w:t>
      </w:r>
      <w:r>
        <w:t xml:space="preserve">der </w:t>
      </w:r>
      <w:r w:rsidR="006341ED">
        <w:t>Mähdrusche</w:t>
      </w:r>
      <w:r>
        <w:t xml:space="preserve">rnte entlassen und </w:t>
      </w:r>
      <w:r w:rsidR="006341ED">
        <w:t xml:space="preserve">bestäuben </w:t>
      </w:r>
      <w:r>
        <w:t xml:space="preserve">das Saatgut. Der nah-verwandte </w:t>
      </w:r>
      <w:r w:rsidRPr="009E7668">
        <w:rPr>
          <w:b/>
        </w:rPr>
        <w:t>Zwergsteinbrand</w:t>
      </w:r>
      <w:r>
        <w:t xml:space="preserve"> ist </w:t>
      </w:r>
      <w:proofErr w:type="spellStart"/>
      <w:r>
        <w:t>bodenbürtig</w:t>
      </w:r>
      <w:proofErr w:type="spellEnd"/>
      <w:r>
        <w:t xml:space="preserve"> und infiziert d</w:t>
      </w:r>
      <w:r w:rsidR="006341ED">
        <w:t>i</w:t>
      </w:r>
      <w:r>
        <w:t>e</w:t>
      </w:r>
      <w:r w:rsidR="006341ED">
        <w:t xml:space="preserve"> junge Pflanze</w:t>
      </w:r>
      <w:r>
        <w:t xml:space="preserve"> während des Keimvorgangs</w:t>
      </w:r>
      <w:r w:rsidR="006341ED">
        <w:t>, besonders häufig in höheren Lagen bei Schneebedeckung.</w:t>
      </w:r>
      <w:r>
        <w:t xml:space="preserve"> Beim </w:t>
      </w:r>
      <w:r w:rsidRPr="009E7668">
        <w:rPr>
          <w:b/>
        </w:rPr>
        <w:t>Flugbrand</w:t>
      </w:r>
      <w:r>
        <w:t xml:space="preserve"> erfolgt bereits eine Infektion </w:t>
      </w:r>
      <w:r w:rsidR="00E6003F">
        <w:t xml:space="preserve">in die </w:t>
      </w:r>
      <w:r>
        <w:t xml:space="preserve">Weizenblüte. </w:t>
      </w:r>
    </w:p>
    <w:p w14:paraId="1CA63F73" w14:textId="57078C21" w:rsidR="00B4781D" w:rsidRDefault="009D416E">
      <w:r>
        <w:t xml:space="preserve">Die Erreger werden im konventionellen Anbau zuverlässig durch chemische Beizung bekämpft, weshalb es auch kaum Resistenzuntersuchungen oder gar Resistenzzüchtung gibt. Im Ökologischen Anbau </w:t>
      </w:r>
      <w:r w:rsidR="006341ED">
        <w:t xml:space="preserve">ist das völlig anders. Hier </w:t>
      </w:r>
      <w:r>
        <w:t xml:space="preserve">bedrohen </w:t>
      </w:r>
      <w:r w:rsidR="006341ED">
        <w:t>d</w:t>
      </w:r>
      <w:r>
        <w:t xml:space="preserve">ie </w:t>
      </w:r>
      <w:r w:rsidR="006341ED">
        <w:t xml:space="preserve">Brandpilze </w:t>
      </w:r>
      <w:r>
        <w:t xml:space="preserve">weniger den Kornertrag als die Saatgutproduktion. Bereits wenige infizierte Ähren pro Quadratmeter genügen zur Aberkennung des gesamten Feldes. Und durch den besonders gut an </w:t>
      </w:r>
      <w:r w:rsidR="00380A0A">
        <w:t xml:space="preserve">den </w:t>
      </w:r>
      <w:r>
        <w:t>Weizen angepassten Lebenszyklus der Brandpilze führt jede Vermehrungsstufe zu einer größeren An</w:t>
      </w:r>
      <w:r w:rsidR="006341ED">
        <w:t>reicherun</w:t>
      </w:r>
      <w:r>
        <w:t xml:space="preserve">g von Sporen. </w:t>
      </w:r>
    </w:p>
    <w:p w14:paraId="30DCF313" w14:textId="77777777" w:rsidR="008D4CE2" w:rsidRPr="008D4CE2" w:rsidRDefault="008D4CE2">
      <w:pPr>
        <w:rPr>
          <w:b/>
        </w:rPr>
      </w:pPr>
      <w:r w:rsidRPr="008D4CE2">
        <w:rPr>
          <w:b/>
        </w:rPr>
        <w:t>Resistenzversuche der Landessaatzuchtanstalt</w:t>
      </w:r>
    </w:p>
    <w:p w14:paraId="2765E0A4" w14:textId="5797B34B" w:rsidR="009D416E" w:rsidRDefault="008D4CE2">
      <w:r>
        <w:t xml:space="preserve">Die Landessaatzuchtanstalt </w:t>
      </w:r>
      <w:r w:rsidR="006341ED">
        <w:t xml:space="preserve">untersucht </w:t>
      </w:r>
      <w:r w:rsidR="006341ED" w:rsidRPr="00567DED">
        <w:t xml:space="preserve">in einem vom </w:t>
      </w:r>
      <w:r w:rsidR="00567DED">
        <w:t>Bundesprogramm</w:t>
      </w:r>
      <w:r w:rsidR="006341ED" w:rsidRPr="00567DED">
        <w:t xml:space="preserve"> </w:t>
      </w:r>
      <w:r w:rsidR="00567DED">
        <w:t xml:space="preserve">Ökologischer Landbau und andere Formen nachhaltiger Landwirtschaft und der Mahle Stiftung </w:t>
      </w:r>
      <w:r w:rsidR="006341ED" w:rsidRPr="00567DED">
        <w:t>geförderten Projekt</w:t>
      </w:r>
      <w:r w:rsidR="006341ED">
        <w:t xml:space="preserve"> die Anfälligkeit von Emmer und Dinkel für die beiden Steinbrande.</w:t>
      </w:r>
      <w:r w:rsidR="00567DED">
        <w:t xml:space="preserve"> Bei den Feldversuchen zum Zwergsteinbrand unterstützen </w:t>
      </w:r>
      <w:r>
        <w:t xml:space="preserve">die Forscher </w:t>
      </w:r>
      <w:r w:rsidR="00567DED">
        <w:t xml:space="preserve">zudem das Landwirtschaftliche Technologiezentrum Augustenberg und die Landwirtfamilie Holzschuh in Hausen. </w:t>
      </w:r>
    </w:p>
    <w:p w14:paraId="0A67CB06" w14:textId="77777777" w:rsidR="008D2F26" w:rsidRPr="008D4CE2" w:rsidRDefault="008D2F26" w:rsidP="008D2F26">
      <w:pPr>
        <w:rPr>
          <w:b/>
        </w:rPr>
      </w:pPr>
      <w:r>
        <w:rPr>
          <w:b/>
        </w:rPr>
        <w:lastRenderedPageBreak/>
        <w:t xml:space="preserve">Weizensteinbrand: </w:t>
      </w:r>
      <w:r w:rsidRPr="008D4CE2">
        <w:rPr>
          <w:b/>
        </w:rPr>
        <w:t>Vielversprechende Ergebnisse bei Emmer</w:t>
      </w:r>
    </w:p>
    <w:p w14:paraId="4AE457AE" w14:textId="77777777" w:rsidR="008D4CE2" w:rsidRDefault="006341ED">
      <w:r>
        <w:t>R</w:t>
      </w:r>
      <w:r w:rsidR="00567DED">
        <w:t>esistenzversuche für</w:t>
      </w:r>
      <w:r>
        <w:t xml:space="preserve"> Weizensteinbrand </w:t>
      </w:r>
      <w:r w:rsidR="00567DED">
        <w:t xml:space="preserve">sind relativ einfach </w:t>
      </w:r>
      <w:r>
        <w:t xml:space="preserve">zu handhaben. Die Körner werden vor der </w:t>
      </w:r>
      <w:r w:rsidR="00567DED">
        <w:t>Aussaat mit Brandsporen inokuliert</w:t>
      </w:r>
      <w:r w:rsidR="00194659">
        <w:t>,</w:t>
      </w:r>
      <w:r w:rsidR="00567DED">
        <w:t xml:space="preserve"> in dem </w:t>
      </w:r>
      <w:r w:rsidR="00194659">
        <w:t>s</w:t>
      </w:r>
      <w:r w:rsidR="00567DED">
        <w:t>ie</w:t>
      </w:r>
      <w:r>
        <w:t xml:space="preserve"> in ein Glas mit </w:t>
      </w:r>
      <w:r w:rsidR="00567DED">
        <w:t>Saatgut gegeben, gut ge</w:t>
      </w:r>
      <w:r>
        <w:t>schüttelt und dann ausgesät</w:t>
      </w:r>
      <w:r w:rsidR="00567DED">
        <w:t xml:space="preserve"> w</w:t>
      </w:r>
      <w:r w:rsidR="00194659">
        <w:t>e</w:t>
      </w:r>
      <w:r w:rsidR="00567DED">
        <w:t>rde</w:t>
      </w:r>
      <w:r w:rsidR="00194659">
        <w:t>n</w:t>
      </w:r>
      <w:r>
        <w:t xml:space="preserve">. Während der Keimung infiziert der Pilz </w:t>
      </w:r>
      <w:r w:rsidR="00E6003F">
        <w:t xml:space="preserve">den Sämling </w:t>
      </w:r>
      <w:r>
        <w:t xml:space="preserve">und zur Ernte sind bei Weichweizen die Brandbudden in den Ähren zu sehen, da sie durch ihre Größe die Spelzen </w:t>
      </w:r>
      <w:r w:rsidR="00380A0A">
        <w:t xml:space="preserve">weit </w:t>
      </w:r>
      <w:r>
        <w:t xml:space="preserve">abspreizen. </w:t>
      </w:r>
    </w:p>
    <w:p w14:paraId="35049863" w14:textId="77777777" w:rsidR="008D4CE2" w:rsidRDefault="006341ED">
      <w:r>
        <w:t>Üblicherweise zählt</w:t>
      </w:r>
      <w:r w:rsidR="003F41F2">
        <w:t xml:space="preserve"> oder schätzt („bonitiert“)</w:t>
      </w:r>
      <w:r>
        <w:t xml:space="preserve"> man dann die befallenen Ähren pro Fläche</w:t>
      </w:r>
      <w:r w:rsidR="00380A0A">
        <w:t xml:space="preserve"> als Maß für die Anfälligkeit einer Sorte</w:t>
      </w:r>
      <w:r>
        <w:t xml:space="preserve">. </w:t>
      </w:r>
      <w:r w:rsidR="00C27789">
        <w:t>Bei den Spelzweizen</w:t>
      </w:r>
      <w:r w:rsidR="008D4CE2">
        <w:t>, zu denen Emmer und Dinkel gehören,</w:t>
      </w:r>
      <w:r w:rsidR="00C27789">
        <w:t xml:space="preserve"> erwies sich dies als nicht ganz so einfach, da die Brandbudden es hier nicht schaffen, die harten Spelzen zu öffnen. Sie sind deshalb von außen nicht sichtbar und zur </w:t>
      </w:r>
      <w:proofErr w:type="spellStart"/>
      <w:r w:rsidR="00C27789">
        <w:t>Befallsbeurteilung</w:t>
      </w:r>
      <w:proofErr w:type="spellEnd"/>
      <w:r w:rsidR="00C27789">
        <w:t xml:space="preserve"> müssen die Spelzen aufgeschlitzt werden. </w:t>
      </w:r>
    </w:p>
    <w:p w14:paraId="0C56D034" w14:textId="77777777" w:rsidR="003F41F2" w:rsidRDefault="00C27789">
      <w:r>
        <w:t xml:space="preserve">Die Prüfung an zwei Orten in zwei Jahren ergab eine breite Streuung der Anfälligkeit von 65 </w:t>
      </w:r>
      <w:proofErr w:type="spellStart"/>
      <w:r>
        <w:t>Emmersorten</w:t>
      </w:r>
      <w:proofErr w:type="spellEnd"/>
      <w:r>
        <w:t xml:space="preserve"> </w:t>
      </w:r>
      <w:r w:rsidRPr="00A91047">
        <w:rPr>
          <w:b/>
        </w:rPr>
        <w:t>(Abb. 1).</w:t>
      </w:r>
    </w:p>
    <w:p w14:paraId="797E243E" w14:textId="77777777" w:rsidR="003F41F2" w:rsidRDefault="003F41F2"/>
    <w:p w14:paraId="7741580E" w14:textId="77777777" w:rsidR="003F41F2" w:rsidRPr="003F41F2" w:rsidRDefault="00C27789" w:rsidP="00A4501B">
      <w:pPr>
        <w:spacing w:line="240" w:lineRule="auto"/>
        <w:rPr>
          <w:b/>
        </w:rPr>
      </w:pPr>
      <w:r>
        <w:rPr>
          <w:b/>
          <w:noProof/>
          <w:lang w:eastAsia="de-DE"/>
        </w:rPr>
        <w:drawing>
          <wp:anchor distT="0" distB="0" distL="114300" distR="114300" simplePos="0" relativeHeight="251658240" behindDoc="0" locked="0" layoutInCell="1" allowOverlap="1" wp14:anchorId="7A96260F" wp14:editId="6D3F1032">
            <wp:simplePos x="0" y="0"/>
            <wp:positionH relativeFrom="column">
              <wp:posOffset>-635</wp:posOffset>
            </wp:positionH>
            <wp:positionV relativeFrom="paragraph">
              <wp:posOffset>125095</wp:posOffset>
            </wp:positionV>
            <wp:extent cx="3824605" cy="2486660"/>
            <wp:effectExtent l="0" t="0" r="0" b="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824605" cy="2486660"/>
                    </a:xfrm>
                    <a:prstGeom prst="rect">
                      <a:avLst/>
                    </a:prstGeom>
                    <a:noFill/>
                    <a:ln w="9525">
                      <a:noFill/>
                      <a:miter lim="800000"/>
                      <a:headEnd/>
                      <a:tailEnd/>
                    </a:ln>
                  </pic:spPr>
                </pic:pic>
              </a:graphicData>
            </a:graphic>
          </wp:anchor>
        </w:drawing>
      </w:r>
      <w:r w:rsidR="003F41F2" w:rsidRPr="003F41F2">
        <w:rPr>
          <w:b/>
        </w:rPr>
        <w:t xml:space="preserve">Abb. 1. Verteilung der </w:t>
      </w:r>
      <w:proofErr w:type="spellStart"/>
      <w:r w:rsidR="003F41F2" w:rsidRPr="003F41F2">
        <w:rPr>
          <w:b/>
        </w:rPr>
        <w:t>Befallsbonitur</w:t>
      </w:r>
      <w:proofErr w:type="spellEnd"/>
      <w:r w:rsidR="003F41F2" w:rsidRPr="003F41F2">
        <w:rPr>
          <w:b/>
        </w:rPr>
        <w:t xml:space="preserve"> von 65 </w:t>
      </w:r>
      <w:proofErr w:type="spellStart"/>
      <w:r w:rsidR="003F41F2" w:rsidRPr="003F41F2">
        <w:rPr>
          <w:b/>
        </w:rPr>
        <w:t>Emmer</w:t>
      </w:r>
      <w:r w:rsidR="003C619F">
        <w:rPr>
          <w:b/>
        </w:rPr>
        <w:t>sorten</w:t>
      </w:r>
      <w:proofErr w:type="spellEnd"/>
      <w:r w:rsidR="003F41F2" w:rsidRPr="003F41F2">
        <w:rPr>
          <w:b/>
        </w:rPr>
        <w:t xml:space="preserve"> nach künstlicher Infektion mit Steinbrand </w:t>
      </w:r>
      <w:r w:rsidR="00E6003F">
        <w:rPr>
          <w:b/>
        </w:rPr>
        <w:t>mit Angabe einiger bekannter Sorten</w:t>
      </w:r>
      <w:r w:rsidR="00670DFA">
        <w:rPr>
          <w:b/>
        </w:rPr>
        <w:t xml:space="preserve"> (1 = resistent, 9 = sehr anfällig)</w:t>
      </w:r>
    </w:p>
    <w:p w14:paraId="20DC02C1" w14:textId="77777777" w:rsidR="003F41F2" w:rsidRDefault="003F41F2"/>
    <w:p w14:paraId="33626EB8" w14:textId="77777777" w:rsidR="00C27789" w:rsidRDefault="00C27789"/>
    <w:p w14:paraId="623E630E" w14:textId="77777777" w:rsidR="00C27789" w:rsidRDefault="00C27789"/>
    <w:p w14:paraId="0E6B049A" w14:textId="77777777" w:rsidR="00C27789" w:rsidRDefault="00C27789"/>
    <w:p w14:paraId="3A9C4CBB" w14:textId="77777777" w:rsidR="00C27789" w:rsidRDefault="00C27789"/>
    <w:p w14:paraId="19387209" w14:textId="77777777" w:rsidR="00B4781D" w:rsidRDefault="00172362">
      <w:r>
        <w:t>Dabei zeigte sich, dass alle etablierten Sorten mittel- bis hochanfällig sind. Es g</w:t>
      </w:r>
      <w:r w:rsidR="00E6003F">
        <w:t>a</w:t>
      </w:r>
      <w:r>
        <w:t xml:space="preserve">b jedoch </w:t>
      </w:r>
      <w:r w:rsidR="00727CDB">
        <w:t xml:space="preserve">auch 20 </w:t>
      </w:r>
      <w:r>
        <w:t xml:space="preserve">sehr </w:t>
      </w:r>
      <w:r w:rsidR="00727CDB">
        <w:t>resistente Genotypen</w:t>
      </w:r>
      <w:r>
        <w:t xml:space="preserve">. Die Verteilung der </w:t>
      </w:r>
      <w:proofErr w:type="spellStart"/>
      <w:r>
        <w:t>Befallsbonitur</w:t>
      </w:r>
      <w:r w:rsidR="00727CDB">
        <w:t>en</w:t>
      </w:r>
      <w:proofErr w:type="spellEnd"/>
      <w:r>
        <w:t xml:space="preserve"> lässt vermuten, dass die Sorten mit der Note 1-2 eine Resistenz besitzen, die nur durch ein Resistenzgen </w:t>
      </w:r>
      <w:r w:rsidR="00727CDB">
        <w:t>(</w:t>
      </w:r>
      <w:proofErr w:type="spellStart"/>
      <w:r w:rsidR="00727CDB">
        <w:t>monogenisch</w:t>
      </w:r>
      <w:proofErr w:type="spellEnd"/>
      <w:r w:rsidR="00727CDB">
        <w:t xml:space="preserve">) </w:t>
      </w:r>
      <w:r>
        <w:t xml:space="preserve">vererbt wird. </w:t>
      </w:r>
      <w:r w:rsidR="00727CDB">
        <w:t>Die anderen Sorten zeigen dagegen eine quantitative</w:t>
      </w:r>
      <w:r w:rsidR="00E6003F">
        <w:t xml:space="preserve"> Resistenz, die sich in einer</w:t>
      </w:r>
      <w:r w:rsidR="00727CDB">
        <w:t xml:space="preserve"> so genannte</w:t>
      </w:r>
      <w:r w:rsidR="00E6003F">
        <w:t>n</w:t>
      </w:r>
      <w:r w:rsidR="00727CDB">
        <w:t xml:space="preserve"> Normalverteilung</w:t>
      </w:r>
      <w:r w:rsidR="00E6003F">
        <w:t xml:space="preserve"> äußert</w:t>
      </w:r>
      <w:r w:rsidR="00727CDB">
        <w:t xml:space="preserve">. </w:t>
      </w:r>
    </w:p>
    <w:p w14:paraId="257B7D6A" w14:textId="77777777" w:rsidR="00B4781D" w:rsidRDefault="00727CDB">
      <w:proofErr w:type="spellStart"/>
      <w:r>
        <w:t>Monogenische</w:t>
      </w:r>
      <w:proofErr w:type="spellEnd"/>
      <w:r>
        <w:t xml:space="preserve"> Resistenzen sind </w:t>
      </w:r>
      <w:r w:rsidR="00172362">
        <w:t xml:space="preserve">für den Züchter </w:t>
      </w:r>
      <w:r>
        <w:t>leicht zu handhaben</w:t>
      </w:r>
      <w:r w:rsidR="00172362">
        <w:t xml:space="preserve">, </w:t>
      </w:r>
      <w:r>
        <w:t>a</w:t>
      </w:r>
      <w:r w:rsidR="00172362">
        <w:t xml:space="preserve">llerdings sind </w:t>
      </w:r>
      <w:r>
        <w:t>sie</w:t>
      </w:r>
      <w:r w:rsidR="00172362">
        <w:t xml:space="preserve"> häufig nicht dauerhaft. Sie können leicht vom Pilz überwunden werden</w:t>
      </w:r>
      <w:r>
        <w:t xml:space="preserve"> („Virulenz“)</w:t>
      </w:r>
      <w:r w:rsidR="00172362">
        <w:t xml:space="preserve"> und haben dann keinerlei Wirksamkeit</w:t>
      </w:r>
      <w:r>
        <w:t xml:space="preserve"> mehr</w:t>
      </w:r>
      <w:r w:rsidR="00172362">
        <w:t>. Deshalb ist es bei ihrer Nutzung sehr wichtig, zu wissen, welche Pilzrassen in einer Region vorkommen. Dazu wurden international Differentialsortimente entwickelt. Dies sind Sammlungen von Weizen</w:t>
      </w:r>
      <w:r w:rsidR="00E6003F">
        <w:t>sorten</w:t>
      </w:r>
      <w:r w:rsidR="00172362">
        <w:t>, die nur ein, jeweils anderes</w:t>
      </w:r>
      <w:r w:rsidR="00E6003F">
        <w:t>,</w:t>
      </w:r>
      <w:r w:rsidR="00172362">
        <w:t xml:space="preserve"> </w:t>
      </w:r>
      <w:r>
        <w:t>Resistenzg</w:t>
      </w:r>
      <w:r w:rsidR="00172362">
        <w:t xml:space="preserve">en </w:t>
      </w:r>
      <w:r>
        <w:t xml:space="preserve">gegen einen Erreger </w:t>
      </w:r>
      <w:r w:rsidR="00172362">
        <w:t xml:space="preserve">besitzen. </w:t>
      </w:r>
    </w:p>
    <w:p w14:paraId="0D87238D" w14:textId="57C7EBCF" w:rsidR="008D2F26" w:rsidRDefault="00172362">
      <w:r>
        <w:t xml:space="preserve">Für die beiden </w:t>
      </w:r>
      <w:proofErr w:type="gramStart"/>
      <w:r>
        <w:t>Steinbrande</w:t>
      </w:r>
      <w:proofErr w:type="gramEnd"/>
      <w:r>
        <w:t xml:space="preserve"> nutz</w:t>
      </w:r>
      <w:r w:rsidR="008D4CE2">
        <w:t>t</w:t>
      </w:r>
      <w:r>
        <w:t xml:space="preserve"> </w:t>
      </w:r>
      <w:r w:rsidR="008D4CE2">
        <w:t>die Landessaatzuchtanstalt</w:t>
      </w:r>
      <w:r>
        <w:t xml:space="preserve"> ein </w:t>
      </w:r>
      <w:r w:rsidR="003C619F">
        <w:t>Weichweizen-</w:t>
      </w:r>
      <w:r>
        <w:t xml:space="preserve">Sortiment aus Kanada, das von B.J. </w:t>
      </w:r>
      <w:proofErr w:type="spellStart"/>
      <w:r>
        <w:t>Goates</w:t>
      </w:r>
      <w:proofErr w:type="spellEnd"/>
      <w:r>
        <w:t xml:space="preserve"> entwickelt wurde und aus Sorten mit 14 verschiedenen Genen besteht </w:t>
      </w:r>
      <w:r w:rsidRPr="00A91047">
        <w:rPr>
          <w:b/>
        </w:rPr>
        <w:t>(Abb. 2)</w:t>
      </w:r>
      <w:r>
        <w:t xml:space="preserve">. </w:t>
      </w:r>
      <w:r>
        <w:lastRenderedPageBreak/>
        <w:t>Bt0 (</w:t>
      </w:r>
      <w:proofErr w:type="spellStart"/>
      <w:r>
        <w:t>Bt</w:t>
      </w:r>
      <w:proofErr w:type="spellEnd"/>
      <w:r>
        <w:t xml:space="preserve"> steht für </w:t>
      </w:r>
      <w:r w:rsidRPr="00172362">
        <w:rPr>
          <w:i/>
        </w:rPr>
        <w:t>bunt</w:t>
      </w:r>
      <w:r>
        <w:t>, engl. für Brand) ist dabei eine hochanfällige Form, die i</w:t>
      </w:r>
      <w:r w:rsidR="008D4CE2">
        <w:t>m</w:t>
      </w:r>
      <w:r w:rsidR="008D2F26">
        <w:t xml:space="preserve"> </w:t>
      </w:r>
      <w:r>
        <w:t xml:space="preserve">Experiment auch die hohe </w:t>
      </w:r>
      <w:proofErr w:type="spellStart"/>
      <w:r>
        <w:t>Befallsbonitur</w:t>
      </w:r>
      <w:proofErr w:type="spellEnd"/>
      <w:r>
        <w:t xml:space="preserve"> von nahezu 8 </w:t>
      </w:r>
      <w:r w:rsidR="00727CDB">
        <w:t>hat</w:t>
      </w:r>
      <w:r>
        <w:t>t</w:t>
      </w:r>
      <w:r w:rsidR="00727CDB">
        <w:t>e</w:t>
      </w:r>
      <w:r>
        <w:t xml:space="preserve">. </w:t>
      </w:r>
    </w:p>
    <w:p w14:paraId="146B9C1C" w14:textId="77777777" w:rsidR="006341ED" w:rsidRDefault="008D2F26">
      <w:r w:rsidRPr="00A91047">
        <w:rPr>
          <w:noProof/>
          <w:lang w:eastAsia="de-DE"/>
        </w:rPr>
        <w:drawing>
          <wp:anchor distT="0" distB="0" distL="114300" distR="114300" simplePos="0" relativeHeight="251659264" behindDoc="0" locked="0" layoutInCell="1" allowOverlap="1" wp14:anchorId="7C6355F3" wp14:editId="09E53AB3">
            <wp:simplePos x="0" y="0"/>
            <wp:positionH relativeFrom="column">
              <wp:posOffset>9525</wp:posOffset>
            </wp:positionH>
            <wp:positionV relativeFrom="paragraph">
              <wp:posOffset>1508125</wp:posOffset>
            </wp:positionV>
            <wp:extent cx="5695950" cy="3683000"/>
            <wp:effectExtent l="0" t="0" r="0" b="0"/>
            <wp:wrapTopAndBottom/>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695950" cy="3683000"/>
                    </a:xfrm>
                    <a:prstGeom prst="rect">
                      <a:avLst/>
                    </a:prstGeom>
                    <a:noFill/>
                    <a:ln w="9525">
                      <a:noFill/>
                      <a:miter lim="800000"/>
                      <a:headEnd/>
                      <a:tailEnd/>
                    </a:ln>
                  </pic:spPr>
                </pic:pic>
              </a:graphicData>
            </a:graphic>
          </wp:anchor>
        </w:drawing>
      </w:r>
      <w:r w:rsidR="00172362">
        <w:t xml:space="preserve">Der Befall der anderen Differentialsorten </w:t>
      </w:r>
      <w:r w:rsidR="00A91047">
        <w:t xml:space="preserve">gegenüber Steinbrand </w:t>
      </w:r>
      <w:r w:rsidR="00172362">
        <w:t xml:space="preserve">zeigt, dass in der verwendeten </w:t>
      </w:r>
      <w:r w:rsidR="00727CDB">
        <w:t>Sporenm</w:t>
      </w:r>
      <w:r w:rsidR="00172362">
        <w:t xml:space="preserve">ischung vor allem </w:t>
      </w:r>
      <w:r w:rsidR="00727CDB">
        <w:t>Pilzr</w:t>
      </w:r>
      <w:r w:rsidR="00172362">
        <w:t xml:space="preserve">assen enthalten waren, die die Resistenzgene </w:t>
      </w:r>
      <w:r w:rsidR="00172362" w:rsidRPr="00172362">
        <w:rPr>
          <w:i/>
        </w:rPr>
        <w:t>Bt1</w:t>
      </w:r>
      <w:r w:rsidR="00172362">
        <w:t xml:space="preserve"> und </w:t>
      </w:r>
      <w:r w:rsidR="00172362" w:rsidRPr="00172362">
        <w:rPr>
          <w:i/>
        </w:rPr>
        <w:t>Bt2</w:t>
      </w:r>
      <w:r w:rsidR="00172362">
        <w:t xml:space="preserve">, in geringerem Umfang auch </w:t>
      </w:r>
      <w:r w:rsidR="00172362" w:rsidRPr="00172362">
        <w:rPr>
          <w:i/>
        </w:rPr>
        <w:t xml:space="preserve">Bt4, </w:t>
      </w:r>
      <w:r w:rsidR="00172362">
        <w:rPr>
          <w:i/>
        </w:rPr>
        <w:t>Bt</w:t>
      </w:r>
      <w:r w:rsidR="00172362" w:rsidRPr="00172362">
        <w:rPr>
          <w:i/>
        </w:rPr>
        <w:t>7</w:t>
      </w:r>
      <w:r w:rsidR="00172362">
        <w:t xml:space="preserve"> und </w:t>
      </w:r>
      <w:r w:rsidR="00172362" w:rsidRPr="00172362">
        <w:rPr>
          <w:i/>
        </w:rPr>
        <w:t>Bt10</w:t>
      </w:r>
      <w:r w:rsidR="00172362">
        <w:t xml:space="preserve"> befallen konnten. Es wäre also unklug, diese Gene für die weitere Züchtung zu verwenden</w:t>
      </w:r>
      <w:r w:rsidR="00E6003F">
        <w:t>, da die virulenten Erreger schon vorhanden sind</w:t>
      </w:r>
      <w:r w:rsidR="00172362">
        <w:t xml:space="preserve">. </w:t>
      </w:r>
      <w:r w:rsidR="00727CDB">
        <w:t xml:space="preserve">Die Träger der anderen Resistenzgene blieben jedoch praktisch </w:t>
      </w:r>
      <w:proofErr w:type="spellStart"/>
      <w:r w:rsidR="00727CDB">
        <w:t>befallsfrei</w:t>
      </w:r>
      <w:proofErr w:type="spellEnd"/>
      <w:r w:rsidR="00727CDB">
        <w:t xml:space="preserve">, sie sind also </w:t>
      </w:r>
      <w:r w:rsidR="00E6003F">
        <w:t xml:space="preserve">in Südwestdeutschland </w:t>
      </w:r>
      <w:r w:rsidR="00727CDB">
        <w:t>noch voll wirksam</w:t>
      </w:r>
      <w:r w:rsidR="00670DFA">
        <w:t xml:space="preserve"> und für die Züchtung interessant</w:t>
      </w:r>
      <w:r w:rsidR="00727CDB">
        <w:t xml:space="preserve">. Welche </w:t>
      </w:r>
      <w:proofErr w:type="spellStart"/>
      <w:r w:rsidR="00727CDB" w:rsidRPr="00727CDB">
        <w:rPr>
          <w:i/>
        </w:rPr>
        <w:t>Bt</w:t>
      </w:r>
      <w:proofErr w:type="spellEnd"/>
      <w:r w:rsidR="00727CDB">
        <w:t xml:space="preserve">-Gene die </w:t>
      </w:r>
      <w:r w:rsidR="00E6003F">
        <w:t xml:space="preserve">20 </w:t>
      </w:r>
      <w:r w:rsidR="00727CDB">
        <w:t>resistenten Emmer tragen</w:t>
      </w:r>
      <w:r w:rsidR="00670DFA">
        <w:t xml:space="preserve"> ist unbekannt und</w:t>
      </w:r>
      <w:r w:rsidR="00727CDB">
        <w:t xml:space="preserve"> muss in Zukunft </w:t>
      </w:r>
      <w:r w:rsidR="00E6003F">
        <w:t xml:space="preserve">näher </w:t>
      </w:r>
      <w:r w:rsidR="00727CDB">
        <w:t>untersucht werden.</w:t>
      </w:r>
    </w:p>
    <w:p w14:paraId="7F50A760" w14:textId="2BAE5B1D" w:rsidR="003F41F2" w:rsidRPr="00A4501B" w:rsidRDefault="003F41F2" w:rsidP="00A4501B">
      <w:pPr>
        <w:spacing w:line="240" w:lineRule="auto"/>
        <w:rPr>
          <w:b/>
        </w:rPr>
      </w:pPr>
      <w:r w:rsidRPr="00A4501B">
        <w:rPr>
          <w:b/>
        </w:rPr>
        <w:t xml:space="preserve">Abb. </w:t>
      </w:r>
      <w:r w:rsidR="00A4501B" w:rsidRPr="00A4501B">
        <w:rPr>
          <w:b/>
        </w:rPr>
        <w:t>2</w:t>
      </w:r>
      <w:r w:rsidRPr="00A4501B">
        <w:rPr>
          <w:b/>
        </w:rPr>
        <w:t xml:space="preserve">. </w:t>
      </w:r>
      <w:r w:rsidR="00194659">
        <w:rPr>
          <w:b/>
        </w:rPr>
        <w:t xml:space="preserve">Geprüfte </w:t>
      </w:r>
      <w:proofErr w:type="spellStart"/>
      <w:r w:rsidR="00194659">
        <w:rPr>
          <w:b/>
        </w:rPr>
        <w:t>Virulenzen</w:t>
      </w:r>
      <w:proofErr w:type="spellEnd"/>
      <w:r w:rsidR="00194659">
        <w:rPr>
          <w:b/>
        </w:rPr>
        <w:t xml:space="preserve"> des </w:t>
      </w:r>
      <w:r w:rsidR="00A4501B" w:rsidRPr="00A4501B">
        <w:rPr>
          <w:b/>
        </w:rPr>
        <w:t>Steinbrand</w:t>
      </w:r>
      <w:r w:rsidR="00194659">
        <w:rPr>
          <w:b/>
        </w:rPr>
        <w:t>es</w:t>
      </w:r>
      <w:r w:rsidR="00A4501B" w:rsidRPr="00A4501B">
        <w:rPr>
          <w:b/>
        </w:rPr>
        <w:t xml:space="preserve"> </w:t>
      </w:r>
      <w:r w:rsidR="00194659">
        <w:rPr>
          <w:b/>
        </w:rPr>
        <w:t xml:space="preserve">bzw. Zwergsteinbrandes, ermittelt am </w:t>
      </w:r>
      <w:r w:rsidR="00194659" w:rsidRPr="00A4501B">
        <w:rPr>
          <w:b/>
        </w:rPr>
        <w:t>Befall des Differentialsortimentes mit 14 Resistenzgenen (</w:t>
      </w:r>
      <w:proofErr w:type="spellStart"/>
      <w:r w:rsidR="00194659" w:rsidRPr="00A4501B">
        <w:rPr>
          <w:b/>
          <w:i/>
        </w:rPr>
        <w:t>Bt</w:t>
      </w:r>
      <w:proofErr w:type="spellEnd"/>
      <w:r w:rsidR="00194659" w:rsidRPr="00A4501B">
        <w:rPr>
          <w:b/>
        </w:rPr>
        <w:t>)</w:t>
      </w:r>
      <w:r w:rsidR="003C619F">
        <w:rPr>
          <w:b/>
        </w:rPr>
        <w:t xml:space="preserve"> bei Weichweizen</w:t>
      </w:r>
    </w:p>
    <w:p w14:paraId="5431F979" w14:textId="26916609" w:rsidR="003F41F2" w:rsidRDefault="00E239F5">
      <w:r>
        <w:t>Emmer ist ein Spelzweizen, das hei</w:t>
      </w:r>
      <w:r w:rsidR="00194659">
        <w:t>ß</w:t>
      </w:r>
      <w:r>
        <w:t>t, dass die Körner auch nach der Ernte fest von den Spelzen umschlossen bleiben</w:t>
      </w:r>
      <w:r w:rsidR="008D2F26">
        <w:t>.</w:t>
      </w:r>
      <w:r w:rsidR="00194659">
        <w:t xml:space="preserve"> </w:t>
      </w:r>
      <w:r w:rsidR="008D2F26">
        <w:t>D</w:t>
      </w:r>
      <w:r w:rsidR="00194659">
        <w:t xml:space="preserve">as nennt man dann </w:t>
      </w:r>
      <w:proofErr w:type="spellStart"/>
      <w:r w:rsidR="00194659">
        <w:t>Vese</w:t>
      </w:r>
      <w:proofErr w:type="spellEnd"/>
      <w:r>
        <w:t xml:space="preserve">. </w:t>
      </w:r>
      <w:r w:rsidR="00194659">
        <w:t>S</w:t>
      </w:r>
      <w:r>
        <w:t xml:space="preserve">ie stellt einen gewissen Schutz gegenüber </w:t>
      </w:r>
      <w:r w:rsidR="00974C02">
        <w:t>Umwelt</w:t>
      </w:r>
      <w:r>
        <w:t xml:space="preserve">belastungen dar. </w:t>
      </w:r>
      <w:r w:rsidR="00974C02">
        <w:t>Um die</w:t>
      </w:r>
      <w:r w:rsidR="00194659">
        <w:t xml:space="preserve"> Rolle der Spelzen</w:t>
      </w:r>
      <w:r w:rsidR="00974C02">
        <w:t xml:space="preserve"> auch für </w:t>
      </w:r>
      <w:r w:rsidR="00194659">
        <w:t xml:space="preserve">die Anfälligkeit gegen </w:t>
      </w:r>
      <w:r w:rsidR="00974C02">
        <w:t xml:space="preserve">Weizensteinbrand zu untersuchen, </w:t>
      </w:r>
      <w:r w:rsidR="008D2F26">
        <w:t>wurden</w:t>
      </w:r>
      <w:r>
        <w:t xml:space="preserve"> die Genotypen </w:t>
      </w:r>
      <w:r w:rsidR="00194659">
        <w:t>zusätzlich</w:t>
      </w:r>
      <w:r>
        <w:t xml:space="preserve"> als </w:t>
      </w:r>
      <w:proofErr w:type="spellStart"/>
      <w:r>
        <w:t>Vese</w:t>
      </w:r>
      <w:r w:rsidR="00194659">
        <w:t>n</w:t>
      </w:r>
      <w:proofErr w:type="spellEnd"/>
      <w:r>
        <w:t xml:space="preserve"> mit der gleichen Sporenmenge </w:t>
      </w:r>
      <w:r w:rsidR="00974C02">
        <w:t xml:space="preserve">wie oben </w:t>
      </w:r>
      <w:r>
        <w:t xml:space="preserve">inokuliert. Die Krankheitsausprägung war </w:t>
      </w:r>
      <w:r w:rsidR="00974C02">
        <w:t>da</w:t>
      </w:r>
      <w:r>
        <w:t xml:space="preserve">bei </w:t>
      </w:r>
      <w:r w:rsidR="00974C02">
        <w:t>erheblich geringer. Somit scheinen die Hüllspelzen einen gewissen Schutz zu bieten. Nichtsdestotrotz ist die Verwendung resistenter Sorten für den Ökolandbau von zentraler Bedeutung.</w:t>
      </w:r>
      <w:r>
        <w:t xml:space="preserve"> </w:t>
      </w:r>
    </w:p>
    <w:p w14:paraId="1C3C6A81" w14:textId="77777777" w:rsidR="008D2F26" w:rsidRPr="00FC1983" w:rsidRDefault="008D2F26">
      <w:pPr>
        <w:rPr>
          <w:b/>
        </w:rPr>
      </w:pPr>
      <w:r w:rsidRPr="00FC1983">
        <w:rPr>
          <w:b/>
        </w:rPr>
        <w:t>Zwergsteinbrand: Problem im Dinkelanbau</w:t>
      </w:r>
    </w:p>
    <w:p w14:paraId="54CE9EA5" w14:textId="1F9F128A" w:rsidR="008D2F26" w:rsidRDefault="00727CDB">
      <w:r>
        <w:t xml:space="preserve">Ein schwierigeres Kapitel ist die Prüfung auf </w:t>
      </w:r>
      <w:r w:rsidR="00E6003F" w:rsidRPr="009E7668">
        <w:t xml:space="preserve">Resistenz gegen </w:t>
      </w:r>
      <w:r w:rsidRPr="009E7668">
        <w:t>Zwergsteinbrand</w:t>
      </w:r>
      <w:r w:rsidR="003C619F">
        <w:t>, der ein großes Problem im Dinkelanbau auf der schwäbischen Alb darstellt.</w:t>
      </w:r>
      <w:r>
        <w:t xml:space="preserve"> Hier nutzt </w:t>
      </w:r>
      <w:r w:rsidR="008D2F26">
        <w:t xml:space="preserve">die Landessaatzuchtanstalt </w:t>
      </w:r>
      <w:r w:rsidR="00AF74D7">
        <w:t>einen</w:t>
      </w:r>
      <w:r w:rsidR="009E7668">
        <w:t xml:space="preserve"> </w:t>
      </w:r>
      <w:r>
        <w:t xml:space="preserve">Standort </w:t>
      </w:r>
      <w:r w:rsidR="00AF74D7">
        <w:t xml:space="preserve">in Hausen ob </w:t>
      </w:r>
      <w:proofErr w:type="spellStart"/>
      <w:r w:rsidR="00AF74D7">
        <w:t>Urspring</w:t>
      </w:r>
      <w:proofErr w:type="spellEnd"/>
      <w:r w:rsidR="00AF74D7">
        <w:t xml:space="preserve"> </w:t>
      </w:r>
      <w:r>
        <w:t xml:space="preserve">auf der Schwäbischen Alb, wo der </w:t>
      </w:r>
      <w:proofErr w:type="spellStart"/>
      <w:r>
        <w:t>bodenbürtige</w:t>
      </w:r>
      <w:proofErr w:type="spellEnd"/>
      <w:r>
        <w:t xml:space="preserve"> Pilz seit Jahren verbreitet ist. </w:t>
      </w:r>
      <w:r w:rsidR="00AF74D7">
        <w:t xml:space="preserve">Das Experiment </w:t>
      </w:r>
      <w:r w:rsidR="003C619F">
        <w:t xml:space="preserve">umfasste 158 Dinkelsorten, die </w:t>
      </w:r>
      <w:r w:rsidR="00AF74D7">
        <w:t xml:space="preserve">in drei aufeinander folgenden </w:t>
      </w:r>
      <w:proofErr w:type="gramStart"/>
      <w:r w:rsidR="00AF74D7">
        <w:t>Jahren</w:t>
      </w:r>
      <w:proofErr w:type="gramEnd"/>
      <w:r w:rsidR="00AF74D7">
        <w:t xml:space="preserve"> an </w:t>
      </w:r>
      <w:r w:rsidR="00AF74D7">
        <w:lastRenderedPageBreak/>
        <w:t xml:space="preserve">diesem Standort </w:t>
      </w:r>
      <w:r w:rsidR="003C619F">
        <w:t>wuchsen</w:t>
      </w:r>
      <w:r w:rsidR="00AF74D7">
        <w:t xml:space="preserve">, mit jeweils drei Wiederholungen pro Jahr. </w:t>
      </w:r>
      <w:r>
        <w:t>Zusätzlich wurde das Experiment mit einem Vlies abgedeckt, um die in den letzten Wintern fehlende Schneedecke zu simulieren.</w:t>
      </w:r>
    </w:p>
    <w:p w14:paraId="15A8FA3C" w14:textId="77777777" w:rsidR="008D2F26" w:rsidRDefault="00A4501B">
      <w:r>
        <w:t xml:space="preserve">Allerdings war der Befall über das Experiment hinweg sehr ungleichmäßig, die </w:t>
      </w:r>
      <w:r w:rsidR="00AF74D7">
        <w:t>drei</w:t>
      </w:r>
      <w:r>
        <w:t xml:space="preserve"> Wiederholungen entsprachen sich kaum. Das ist für einen </w:t>
      </w:r>
      <w:proofErr w:type="spellStart"/>
      <w:r>
        <w:t>bodenbürtigen</w:t>
      </w:r>
      <w:proofErr w:type="spellEnd"/>
      <w:r>
        <w:t xml:space="preserve"> Pilz zwar nicht ungewöhnlich, da sein Befall sehr stark von der Mikroumwelt abhängt, z.B. dem Bodenwassergehalt</w:t>
      </w:r>
      <w:r w:rsidR="00E6003F">
        <w:t xml:space="preserve"> oder</w:t>
      </w:r>
      <w:r>
        <w:t xml:space="preserve"> Humusgehalt, es erschwert aber die Züchtung ungemein. Es ergab sich zwar auch </w:t>
      </w:r>
      <w:r w:rsidR="00E6003F">
        <w:t xml:space="preserve">hier </w:t>
      </w:r>
      <w:r>
        <w:t xml:space="preserve">eine gute </w:t>
      </w:r>
      <w:proofErr w:type="spellStart"/>
      <w:r>
        <w:t>Befallsdifferenzierung</w:t>
      </w:r>
      <w:proofErr w:type="spellEnd"/>
      <w:r w:rsidR="00E6003F">
        <w:t xml:space="preserve"> </w:t>
      </w:r>
      <w:r w:rsidR="00E6003F" w:rsidRPr="00A91047">
        <w:rPr>
          <w:b/>
        </w:rPr>
        <w:t>(Abb. 3)</w:t>
      </w:r>
      <w:r w:rsidRPr="00A91047">
        <w:rPr>
          <w:b/>
        </w:rPr>
        <w:t>,</w:t>
      </w:r>
      <w:r>
        <w:t xml:space="preserve"> diese war aber </w:t>
      </w:r>
      <w:r w:rsidR="00E6003F">
        <w:t xml:space="preserve">nur ungenau zu erfassen. </w:t>
      </w:r>
    </w:p>
    <w:p w14:paraId="0E947E8E" w14:textId="228AD27A" w:rsidR="00727CDB" w:rsidRDefault="00E6003F">
      <w:r>
        <w:t xml:space="preserve">Trotzdem </w:t>
      </w:r>
      <w:proofErr w:type="gramStart"/>
      <w:r>
        <w:t>wurde</w:t>
      </w:r>
      <w:proofErr w:type="gramEnd"/>
      <w:r>
        <w:t xml:space="preserve"> eine Sorte und ein erheblicher Teil des Zuchtmaterials </w:t>
      </w:r>
      <w:r w:rsidR="00194659">
        <w:t>als resistent (</w:t>
      </w:r>
      <w:proofErr w:type="spellStart"/>
      <w:r w:rsidR="00194659">
        <w:t>Bonitur</w:t>
      </w:r>
      <w:proofErr w:type="spellEnd"/>
      <w:r w:rsidR="00194659">
        <w:t xml:space="preserve"> 1-2)</w:t>
      </w:r>
      <w:r>
        <w:t xml:space="preserve"> identifiziert. Es bleibt abzuwarten, ob sich diese</w:t>
      </w:r>
      <w:r w:rsidR="00A4501B">
        <w:t xml:space="preserve"> </w:t>
      </w:r>
      <w:r>
        <w:t xml:space="preserve">Ergebnisse </w:t>
      </w:r>
      <w:r w:rsidR="00C27789">
        <w:t>in</w:t>
      </w:r>
      <w:r>
        <w:t xml:space="preserve"> der weiteren Züchtung</w:t>
      </w:r>
      <w:r w:rsidR="00C27789">
        <w:t>sarbeit</w:t>
      </w:r>
      <w:r>
        <w:t xml:space="preserve"> bestätigen. Übrigens wirken die oben genannten </w:t>
      </w:r>
      <w:proofErr w:type="spellStart"/>
      <w:r w:rsidRPr="00E6003F">
        <w:rPr>
          <w:i/>
        </w:rPr>
        <w:t>Bt</w:t>
      </w:r>
      <w:proofErr w:type="spellEnd"/>
      <w:r>
        <w:t xml:space="preserve">-Gene </w:t>
      </w:r>
      <w:r w:rsidR="00C27789">
        <w:t xml:space="preserve">auch </w:t>
      </w:r>
      <w:r>
        <w:t xml:space="preserve">gegen </w:t>
      </w:r>
      <w:r w:rsidR="00C27789">
        <w:t>Zwergsteinbrand</w:t>
      </w:r>
      <w:r>
        <w:t>.</w:t>
      </w:r>
      <w:r w:rsidR="00A91047" w:rsidRPr="00A91047">
        <w:t xml:space="preserve"> </w:t>
      </w:r>
      <w:r w:rsidR="00A91047">
        <w:t xml:space="preserve">Die auf der Schwäbischen Alb vorkommende Population dieses Schadpilzes besaß allerdings mehr </w:t>
      </w:r>
      <w:proofErr w:type="spellStart"/>
      <w:r w:rsidR="00A91047">
        <w:t>Virulenzen</w:t>
      </w:r>
      <w:proofErr w:type="spellEnd"/>
      <w:r w:rsidR="00A91047">
        <w:t xml:space="preserve"> als der Steinbrand (Abb. 2). Während beispielsweise die Gene </w:t>
      </w:r>
      <w:r w:rsidR="00A91047" w:rsidRPr="00A91047">
        <w:rPr>
          <w:i/>
        </w:rPr>
        <w:t>Bt3, 4, 6, 9, 12, 13, P</w:t>
      </w:r>
      <w:r w:rsidR="00A91047">
        <w:t xml:space="preserve"> den Weizen noch vollständig vor den inokulierten Steinbrandisolaten schützten, waren sie gegen die Zwergsteinbrandpopulation nicht mehr voll wirksam. Es gab schon zu einem gewissen Anteil virulente Stämme. </w:t>
      </w:r>
      <w:r w:rsidR="00EB7093">
        <w:t>Voll wirksam gegen beide Erreger waren nur</w:t>
      </w:r>
      <w:r w:rsidR="003C619F">
        <w:t xml:space="preserve"> </w:t>
      </w:r>
      <w:r w:rsidR="00EB7093">
        <w:t xml:space="preserve">noch </w:t>
      </w:r>
      <w:r w:rsidR="00EB7093" w:rsidRPr="00EB7093">
        <w:rPr>
          <w:i/>
        </w:rPr>
        <w:t>Bt8</w:t>
      </w:r>
      <w:r w:rsidR="00EB7093">
        <w:t xml:space="preserve"> und </w:t>
      </w:r>
      <w:r w:rsidR="00EB7093" w:rsidRPr="00EB7093">
        <w:rPr>
          <w:i/>
        </w:rPr>
        <w:t>Bt11</w:t>
      </w:r>
      <w:r w:rsidR="00EB7093">
        <w:t>. In</w:t>
      </w:r>
      <w:r w:rsidR="008D2F26">
        <w:t>s</w:t>
      </w:r>
      <w:r w:rsidR="00EB7093">
        <w:t xml:space="preserve">gesamt zeigen </w:t>
      </w:r>
      <w:r w:rsidR="008D2F26">
        <w:t xml:space="preserve">die </w:t>
      </w:r>
      <w:r w:rsidR="00EB7093">
        <w:t>Daten</w:t>
      </w:r>
      <w:r w:rsidR="00E239F5">
        <w:t>, dass Dinkel genauso anfällig ist gegenüber Zwergsteinbrand wie W</w:t>
      </w:r>
      <w:r w:rsidR="00EB7093">
        <w:t>eichweiz</w:t>
      </w:r>
      <w:r w:rsidR="00E239F5">
        <w:t xml:space="preserve">en, was alten Untersuchungen </w:t>
      </w:r>
      <w:r w:rsidR="00EB7093">
        <w:t>teilweise</w:t>
      </w:r>
      <w:r w:rsidR="00E239F5">
        <w:t xml:space="preserve"> widerspricht.</w:t>
      </w:r>
    </w:p>
    <w:p w14:paraId="71C7CE3F" w14:textId="77777777" w:rsidR="003F41F2" w:rsidRDefault="003F41F2"/>
    <w:p w14:paraId="19403DBA" w14:textId="77777777" w:rsidR="003F41F2" w:rsidRDefault="003F41F2">
      <w:r w:rsidRPr="003F41F2">
        <w:rPr>
          <w:noProof/>
          <w:lang w:eastAsia="de-DE"/>
        </w:rPr>
        <w:drawing>
          <wp:inline distT="0" distB="0" distL="0" distR="0" wp14:anchorId="1F25825F" wp14:editId="7D0746E8">
            <wp:extent cx="5128591" cy="4041929"/>
            <wp:effectExtent l="0" t="0" r="0" b="0"/>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144508" cy="4054473"/>
                    </a:xfrm>
                    <a:prstGeom prst="rect">
                      <a:avLst/>
                    </a:prstGeom>
                    <a:noFill/>
                    <a:ln w="9525">
                      <a:noFill/>
                      <a:miter lim="800000"/>
                      <a:headEnd/>
                      <a:tailEnd/>
                    </a:ln>
                  </pic:spPr>
                </pic:pic>
              </a:graphicData>
            </a:graphic>
          </wp:inline>
        </w:drawing>
      </w:r>
    </w:p>
    <w:p w14:paraId="508CBF31" w14:textId="77777777" w:rsidR="00E6003F" w:rsidRPr="003F41F2" w:rsidRDefault="00E6003F" w:rsidP="00E6003F">
      <w:pPr>
        <w:spacing w:line="240" w:lineRule="auto"/>
        <w:rPr>
          <w:b/>
        </w:rPr>
      </w:pPr>
      <w:r w:rsidRPr="003F41F2">
        <w:rPr>
          <w:b/>
        </w:rPr>
        <w:t xml:space="preserve">Abb. </w:t>
      </w:r>
      <w:r>
        <w:rPr>
          <w:b/>
        </w:rPr>
        <w:t>3</w:t>
      </w:r>
      <w:r w:rsidRPr="003F41F2">
        <w:rPr>
          <w:b/>
        </w:rPr>
        <w:t xml:space="preserve">. Verteilung der </w:t>
      </w:r>
      <w:proofErr w:type="spellStart"/>
      <w:r w:rsidRPr="003F41F2">
        <w:rPr>
          <w:b/>
        </w:rPr>
        <w:t>Befallsbonitur</w:t>
      </w:r>
      <w:proofErr w:type="spellEnd"/>
      <w:r w:rsidRPr="003F41F2">
        <w:rPr>
          <w:b/>
        </w:rPr>
        <w:t xml:space="preserve"> von </w:t>
      </w:r>
      <w:r>
        <w:rPr>
          <w:b/>
        </w:rPr>
        <w:t>66</w:t>
      </w:r>
      <w:r w:rsidRPr="003F41F2">
        <w:rPr>
          <w:b/>
        </w:rPr>
        <w:t xml:space="preserve"> </w:t>
      </w:r>
      <w:r>
        <w:rPr>
          <w:b/>
        </w:rPr>
        <w:t>Dinkelsorten und 92 Zuchtlinien bei</w:t>
      </w:r>
      <w:r w:rsidRPr="003F41F2">
        <w:rPr>
          <w:b/>
        </w:rPr>
        <w:t xml:space="preserve"> </w:t>
      </w:r>
      <w:r>
        <w:rPr>
          <w:b/>
        </w:rPr>
        <w:t>natürlicher Bodeni</w:t>
      </w:r>
      <w:r w:rsidRPr="003F41F2">
        <w:rPr>
          <w:b/>
        </w:rPr>
        <w:t xml:space="preserve">nfektion mit </w:t>
      </w:r>
      <w:r>
        <w:rPr>
          <w:b/>
        </w:rPr>
        <w:t>Zwergs</w:t>
      </w:r>
      <w:r w:rsidRPr="003F41F2">
        <w:rPr>
          <w:b/>
        </w:rPr>
        <w:t>teinbrand</w:t>
      </w:r>
      <w:r w:rsidR="00AF74D7">
        <w:rPr>
          <w:b/>
        </w:rPr>
        <w:t xml:space="preserve"> ( 1 = resistent, 9 = hoch anfällig)</w:t>
      </w:r>
    </w:p>
    <w:p w14:paraId="428FA49A" w14:textId="77777777" w:rsidR="00E6003F" w:rsidRDefault="00E6003F"/>
    <w:p w14:paraId="1BAA6DB5" w14:textId="5A27643A" w:rsidR="008D2F26" w:rsidRPr="00D45404" w:rsidRDefault="00E6003F">
      <w:pPr>
        <w:rPr>
          <w:b/>
        </w:rPr>
      </w:pPr>
      <w:r w:rsidRPr="00D45404">
        <w:rPr>
          <w:b/>
        </w:rPr>
        <w:lastRenderedPageBreak/>
        <w:t>Fazit</w:t>
      </w:r>
      <w:r w:rsidR="008D2F26" w:rsidRPr="00D45404">
        <w:rPr>
          <w:b/>
        </w:rPr>
        <w:t xml:space="preserve">: </w:t>
      </w:r>
      <w:r w:rsidR="00D45404" w:rsidRPr="00D45404">
        <w:rPr>
          <w:b/>
        </w:rPr>
        <w:t>Resistentes Zuchtmaterial gibt Zuversicht</w:t>
      </w:r>
    </w:p>
    <w:p w14:paraId="743F7059" w14:textId="77777777" w:rsidR="00E6003F" w:rsidRDefault="00E6003F">
      <w:r>
        <w:t xml:space="preserve">Emmer und Dinkel sind durchaus nicht gegen alle Krankheiten widerstandsfähig. </w:t>
      </w:r>
      <w:r w:rsidR="0070493D">
        <w:t xml:space="preserve">Für den Anbau unter Ökologischen Bedingungen ist im Hinblick auf die nötige Saatgutvermehrung eine Resistenz gegen Brande unverzichtbar. Die Prüfung umfangreichen Zuchtmaterials macht </w:t>
      </w:r>
      <w:r w:rsidR="00194659">
        <w:t xml:space="preserve">aber </w:t>
      </w:r>
      <w:r w:rsidR="0070493D">
        <w:t>Hoffnung, es gab in den zuvor nicht selektierten Populationen einen erheblichen Anteil resistenten Materials. Für die Zukunft bleibt, diese Resistenzen genetisch zu untersuchen und gezielt in die neu zu entwickelnden Sorten einzukreuzen.</w:t>
      </w:r>
      <w:r w:rsidR="00A7788B">
        <w:t xml:space="preserve"> Gleichzeitig müssen die Brandpopulationen in Deutschland systematisch auf das Vorhandensein </w:t>
      </w:r>
      <w:r w:rsidR="00194659">
        <w:t>ihrer</w:t>
      </w:r>
      <w:r w:rsidR="00A7788B">
        <w:t xml:space="preserve"> </w:t>
      </w:r>
      <w:proofErr w:type="spellStart"/>
      <w:r w:rsidR="00A7788B">
        <w:t>Virulenzen</w:t>
      </w:r>
      <w:proofErr w:type="spellEnd"/>
      <w:r w:rsidR="00A7788B">
        <w:t xml:space="preserve"> analysiert werden. </w:t>
      </w:r>
    </w:p>
    <w:p w14:paraId="40C5FDFE" w14:textId="77777777" w:rsidR="008D2F26" w:rsidRDefault="008D2F26"/>
    <w:p w14:paraId="06ADD643" w14:textId="46250FB9" w:rsidR="00E7325B" w:rsidRDefault="00E7325B">
      <w:pPr>
        <w:rPr>
          <w:u w:val="single"/>
        </w:rPr>
      </w:pPr>
      <w:r w:rsidRPr="009E7668">
        <w:rPr>
          <w:b/>
        </w:rPr>
        <w:t>Bilder zu Zwergsteinbrand</w:t>
      </w:r>
    </w:p>
    <w:p w14:paraId="56018BC6" w14:textId="77777777" w:rsidR="00D45404" w:rsidRPr="00E7325B" w:rsidRDefault="00D45404">
      <w:pPr>
        <w:rPr>
          <w:u w:val="single"/>
        </w:rPr>
      </w:pPr>
    </w:p>
    <w:p w14:paraId="145C170E" w14:textId="77777777" w:rsidR="00E7325B" w:rsidRDefault="00E7325B">
      <w:r>
        <w:rPr>
          <w:noProof/>
          <w:lang w:eastAsia="de-DE"/>
        </w:rPr>
        <w:drawing>
          <wp:inline distT="0" distB="0" distL="0" distR="0" wp14:anchorId="2B3B67AE" wp14:editId="21053D27">
            <wp:extent cx="5760720" cy="3240405"/>
            <wp:effectExtent l="2857"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wergsteinbrand2.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5760720" cy="3240405"/>
                    </a:xfrm>
                    <a:prstGeom prst="rect">
                      <a:avLst/>
                    </a:prstGeom>
                  </pic:spPr>
                </pic:pic>
              </a:graphicData>
            </a:graphic>
          </wp:inline>
        </w:drawing>
      </w:r>
    </w:p>
    <w:p w14:paraId="2BED2BAF" w14:textId="16D90B72" w:rsidR="00E7325B" w:rsidRDefault="003D0074">
      <w:r>
        <w:t>Foto: F. Longin</w:t>
      </w:r>
    </w:p>
    <w:p w14:paraId="44B1A9DF" w14:textId="77777777" w:rsidR="00E7325B" w:rsidRDefault="00E7325B">
      <w:r>
        <w:rPr>
          <w:noProof/>
          <w:lang w:eastAsia="de-DE"/>
        </w:rPr>
        <w:lastRenderedPageBreak/>
        <w:drawing>
          <wp:inline distT="0" distB="0" distL="0" distR="0" wp14:anchorId="6107CAD2" wp14:editId="02FCC956">
            <wp:extent cx="5760720" cy="3240405"/>
            <wp:effectExtent l="2857"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wergsteinbrandähre.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5760720" cy="3240405"/>
                    </a:xfrm>
                    <a:prstGeom prst="rect">
                      <a:avLst/>
                    </a:prstGeom>
                  </pic:spPr>
                </pic:pic>
              </a:graphicData>
            </a:graphic>
          </wp:inline>
        </w:drawing>
      </w:r>
    </w:p>
    <w:p w14:paraId="4E7E486F" w14:textId="77777777" w:rsidR="003D0074" w:rsidRDefault="003D0074" w:rsidP="003D0074">
      <w:r>
        <w:t>Foto: F. Longin</w:t>
      </w:r>
    </w:p>
    <w:p w14:paraId="6ECEACEC" w14:textId="77777777" w:rsidR="00E7325B" w:rsidRDefault="00E7325B"/>
    <w:p w14:paraId="09CCBC92" w14:textId="77777777" w:rsidR="00E7325B" w:rsidRPr="00E6003F" w:rsidRDefault="00E7325B">
      <w:r>
        <w:rPr>
          <w:noProof/>
          <w:lang w:eastAsia="de-DE"/>
        </w:rPr>
        <w:lastRenderedPageBreak/>
        <w:drawing>
          <wp:inline distT="0" distB="0" distL="0" distR="0" wp14:anchorId="36C4A310" wp14:editId="30B066D8">
            <wp:extent cx="5760720" cy="3240405"/>
            <wp:effectExtent l="2857"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wergsteinbrand.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5760720" cy="3240405"/>
                    </a:xfrm>
                    <a:prstGeom prst="rect">
                      <a:avLst/>
                    </a:prstGeom>
                  </pic:spPr>
                </pic:pic>
              </a:graphicData>
            </a:graphic>
          </wp:inline>
        </w:drawing>
      </w:r>
    </w:p>
    <w:p w14:paraId="5DADA510" w14:textId="77777777" w:rsidR="003D0074" w:rsidRDefault="003D0074" w:rsidP="003D0074">
      <w:bookmarkStart w:id="0" w:name="_GoBack"/>
      <w:bookmarkEnd w:id="0"/>
      <w:r>
        <w:t>Foto: F. Longin</w:t>
      </w:r>
    </w:p>
    <w:p w14:paraId="32D2950B" w14:textId="77777777" w:rsidR="00E6003F" w:rsidRPr="00E6003F" w:rsidRDefault="00E6003F"/>
    <w:sectPr w:rsidR="00E6003F" w:rsidRPr="00E6003F" w:rsidSect="00227EA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Light"/>
    <w:panose1 w:val="020F0502020204030204"/>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oNotTrackFormatting/>
  <w:defaultTabStop w:val="708"/>
  <w:hyphenationZone w:val="425"/>
  <w:characterSpacingControl w:val="doNotCompress"/>
  <w:compat>
    <w:compatSetting w:name="compatibilityMode" w:uri="http://schemas.microsoft.com/office/word" w:val="14"/>
  </w:compat>
  <w:rsids>
    <w:rsidRoot w:val="00116250"/>
    <w:rsid w:val="001150E7"/>
    <w:rsid w:val="00116250"/>
    <w:rsid w:val="00172362"/>
    <w:rsid w:val="00194659"/>
    <w:rsid w:val="00227EAC"/>
    <w:rsid w:val="0026321D"/>
    <w:rsid w:val="00273684"/>
    <w:rsid w:val="002C7086"/>
    <w:rsid w:val="00380A0A"/>
    <w:rsid w:val="003C2DEE"/>
    <w:rsid w:val="003C619F"/>
    <w:rsid w:val="003D0074"/>
    <w:rsid w:val="003F41F2"/>
    <w:rsid w:val="00490E7E"/>
    <w:rsid w:val="00536468"/>
    <w:rsid w:val="00567DED"/>
    <w:rsid w:val="005D543D"/>
    <w:rsid w:val="006341ED"/>
    <w:rsid w:val="00653D7E"/>
    <w:rsid w:val="00670DFA"/>
    <w:rsid w:val="0070493D"/>
    <w:rsid w:val="00727CDB"/>
    <w:rsid w:val="00817B72"/>
    <w:rsid w:val="008D2F26"/>
    <w:rsid w:val="008D4CE2"/>
    <w:rsid w:val="00974C02"/>
    <w:rsid w:val="009C723A"/>
    <w:rsid w:val="009D416E"/>
    <w:rsid w:val="009D7347"/>
    <w:rsid w:val="009D764E"/>
    <w:rsid w:val="009E7668"/>
    <w:rsid w:val="00A14825"/>
    <w:rsid w:val="00A4501B"/>
    <w:rsid w:val="00A7788B"/>
    <w:rsid w:val="00A91047"/>
    <w:rsid w:val="00AF74D7"/>
    <w:rsid w:val="00B353F8"/>
    <w:rsid w:val="00B4781D"/>
    <w:rsid w:val="00BE14B8"/>
    <w:rsid w:val="00C27789"/>
    <w:rsid w:val="00D45404"/>
    <w:rsid w:val="00E239F5"/>
    <w:rsid w:val="00E6003F"/>
    <w:rsid w:val="00E661B4"/>
    <w:rsid w:val="00E7325B"/>
    <w:rsid w:val="00E905EE"/>
    <w:rsid w:val="00E95BA0"/>
    <w:rsid w:val="00EB7093"/>
    <w:rsid w:val="00F833E8"/>
    <w:rsid w:val="00FA5C3E"/>
    <w:rsid w:val="00FC198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27EA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7236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72362"/>
    <w:rPr>
      <w:rFonts w:ascii="Tahoma" w:hAnsi="Tahoma" w:cs="Tahoma"/>
      <w:sz w:val="16"/>
      <w:szCs w:val="16"/>
    </w:rPr>
  </w:style>
  <w:style w:type="character" w:styleId="Kommentarzeichen">
    <w:name w:val="annotation reference"/>
    <w:basedOn w:val="Absatz-Standardschriftart"/>
    <w:uiPriority w:val="99"/>
    <w:semiHidden/>
    <w:unhideWhenUsed/>
    <w:rsid w:val="00C27789"/>
    <w:rPr>
      <w:sz w:val="16"/>
      <w:szCs w:val="16"/>
    </w:rPr>
  </w:style>
  <w:style w:type="paragraph" w:styleId="Kommentartext">
    <w:name w:val="annotation text"/>
    <w:basedOn w:val="Standard"/>
    <w:link w:val="KommentartextZchn"/>
    <w:uiPriority w:val="99"/>
    <w:semiHidden/>
    <w:unhideWhenUsed/>
    <w:rsid w:val="00C2778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27789"/>
    <w:rPr>
      <w:sz w:val="20"/>
      <w:szCs w:val="20"/>
    </w:rPr>
  </w:style>
  <w:style w:type="paragraph" w:styleId="Kommentarthema">
    <w:name w:val="annotation subject"/>
    <w:basedOn w:val="Kommentartext"/>
    <w:next w:val="Kommentartext"/>
    <w:link w:val="KommentarthemaZchn"/>
    <w:uiPriority w:val="99"/>
    <w:semiHidden/>
    <w:unhideWhenUsed/>
    <w:rsid w:val="00C27789"/>
    <w:rPr>
      <w:b/>
      <w:bCs/>
    </w:rPr>
  </w:style>
  <w:style w:type="character" w:customStyle="1" w:styleId="KommentarthemaZchn">
    <w:name w:val="Kommentarthema Zchn"/>
    <w:basedOn w:val="KommentartextZchn"/>
    <w:link w:val="Kommentarthema"/>
    <w:uiPriority w:val="99"/>
    <w:semiHidden/>
    <w:rsid w:val="00C27789"/>
    <w:rPr>
      <w:b/>
      <w:bCs/>
      <w:sz w:val="20"/>
      <w:szCs w:val="20"/>
    </w:rPr>
  </w:style>
  <w:style w:type="character" w:styleId="Fett">
    <w:name w:val="Strong"/>
    <w:basedOn w:val="Absatz-Standardschriftart"/>
    <w:uiPriority w:val="22"/>
    <w:qFormat/>
    <w:rsid w:val="00C27789"/>
    <w:rPr>
      <w:b/>
      <w:bCs/>
    </w:rPr>
  </w:style>
  <w:style w:type="paragraph" w:styleId="berarbeitung">
    <w:name w:val="Revision"/>
    <w:hidden/>
    <w:uiPriority w:val="99"/>
    <w:semiHidden/>
    <w:rsid w:val="00FA5C3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27EA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7236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72362"/>
    <w:rPr>
      <w:rFonts w:ascii="Tahoma" w:hAnsi="Tahoma" w:cs="Tahoma"/>
      <w:sz w:val="16"/>
      <w:szCs w:val="16"/>
    </w:rPr>
  </w:style>
  <w:style w:type="character" w:styleId="Kommentarzeichen">
    <w:name w:val="annotation reference"/>
    <w:basedOn w:val="Absatz-Standardschriftart"/>
    <w:uiPriority w:val="99"/>
    <w:semiHidden/>
    <w:unhideWhenUsed/>
    <w:rsid w:val="00C27789"/>
    <w:rPr>
      <w:sz w:val="16"/>
      <w:szCs w:val="16"/>
    </w:rPr>
  </w:style>
  <w:style w:type="paragraph" w:styleId="Kommentartext">
    <w:name w:val="annotation text"/>
    <w:basedOn w:val="Standard"/>
    <w:link w:val="KommentartextZchn"/>
    <w:uiPriority w:val="99"/>
    <w:semiHidden/>
    <w:unhideWhenUsed/>
    <w:rsid w:val="00C2778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27789"/>
    <w:rPr>
      <w:sz w:val="20"/>
      <w:szCs w:val="20"/>
    </w:rPr>
  </w:style>
  <w:style w:type="paragraph" w:styleId="Kommentarthema">
    <w:name w:val="annotation subject"/>
    <w:basedOn w:val="Kommentartext"/>
    <w:next w:val="Kommentartext"/>
    <w:link w:val="KommentarthemaZchn"/>
    <w:uiPriority w:val="99"/>
    <w:semiHidden/>
    <w:unhideWhenUsed/>
    <w:rsid w:val="00C27789"/>
    <w:rPr>
      <w:b/>
      <w:bCs/>
    </w:rPr>
  </w:style>
  <w:style w:type="character" w:customStyle="1" w:styleId="KommentarthemaZchn">
    <w:name w:val="Kommentarthema Zchn"/>
    <w:basedOn w:val="KommentartextZchn"/>
    <w:link w:val="Kommentarthema"/>
    <w:uiPriority w:val="99"/>
    <w:semiHidden/>
    <w:rsid w:val="00C27789"/>
    <w:rPr>
      <w:b/>
      <w:bCs/>
      <w:sz w:val="20"/>
      <w:szCs w:val="20"/>
    </w:rPr>
  </w:style>
  <w:style w:type="character" w:styleId="Fett">
    <w:name w:val="Strong"/>
    <w:basedOn w:val="Absatz-Standardschriftart"/>
    <w:uiPriority w:val="22"/>
    <w:qFormat/>
    <w:rsid w:val="00C27789"/>
    <w:rPr>
      <w:b/>
      <w:bCs/>
    </w:rPr>
  </w:style>
  <w:style w:type="paragraph" w:styleId="berarbeitung">
    <w:name w:val="Revision"/>
    <w:hidden/>
    <w:uiPriority w:val="99"/>
    <w:semiHidden/>
    <w:rsid w:val="00FA5C3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fontTable" Target="fontTable.xml"/><Relationship Id="rId5" Type="http://schemas.openxmlformats.org/officeDocument/2006/relationships/image" Target="media/image1.w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1332</Words>
  <Characters>8392</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Universitaet Hohenheim</Company>
  <LinksUpToDate>false</LinksUpToDate>
  <CharactersWithSpaces>9705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Elsner Dorothea</cp:lastModifiedBy>
  <cp:revision>4</cp:revision>
  <cp:lastPrinted>2014-11-19T08:05:00Z</cp:lastPrinted>
  <dcterms:created xsi:type="dcterms:W3CDTF">2014-12-19T09:43:00Z</dcterms:created>
  <dcterms:modified xsi:type="dcterms:W3CDTF">2015-01-09T11:55:00Z</dcterms:modified>
</cp:coreProperties>
</file>